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6F" w:rsidRPr="00FD486F" w:rsidRDefault="00FD486F" w:rsidP="00FD486F">
      <w:pPr>
        <w:pStyle w:val="Podtitul"/>
        <w:rPr>
          <w:b/>
          <w:color w:val="auto"/>
          <w:sz w:val="28"/>
          <w:szCs w:val="28"/>
        </w:rPr>
      </w:pPr>
      <w:r w:rsidRPr="00FD486F">
        <w:rPr>
          <w:b/>
          <w:color w:val="auto"/>
          <w:sz w:val="28"/>
          <w:szCs w:val="28"/>
        </w:rPr>
        <w:t xml:space="preserve">Popis změn </w:t>
      </w:r>
      <w:proofErr w:type="gramStart"/>
      <w:r w:rsidRPr="00FD486F">
        <w:rPr>
          <w:b/>
          <w:color w:val="auto"/>
          <w:sz w:val="28"/>
          <w:szCs w:val="28"/>
        </w:rPr>
        <w:t>nastavení v IS</w:t>
      </w:r>
      <w:proofErr w:type="gramEnd"/>
      <w:r w:rsidRPr="00FD486F">
        <w:rPr>
          <w:b/>
          <w:color w:val="auto"/>
          <w:sz w:val="28"/>
          <w:szCs w:val="28"/>
        </w:rPr>
        <w:t xml:space="preserve"> BM pro DPH od 1. 1. 2015</w:t>
      </w:r>
    </w:p>
    <w:p w:rsidR="00FD486F" w:rsidRDefault="00FD486F" w:rsidP="003B61FD">
      <w:pPr>
        <w:pStyle w:val="Nadpis1"/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  <w:t>Nastavení lze rozdělit do</w:t>
      </w:r>
      <w:r w:rsidR="00FE0B68"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="00373FCD"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  <w:t xml:space="preserve">několika </w:t>
      </w:r>
      <w:r w:rsidR="00CC300A"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  <w:t>oblastí</w:t>
      </w:r>
      <w:r w:rsidR="00373FCD">
        <w:rPr>
          <w:rStyle w:val="Zvraznn"/>
          <w:rFonts w:asciiTheme="minorHAnsi" w:hAnsiTheme="minorHAnsi"/>
          <w:b w:val="0"/>
          <w:i w:val="0"/>
          <w:color w:val="auto"/>
          <w:sz w:val="22"/>
          <w:szCs w:val="22"/>
        </w:rPr>
        <w:t>:</w:t>
      </w:r>
    </w:p>
    <w:p w:rsidR="00373FCD" w:rsidRDefault="00CC300A" w:rsidP="00373FCD">
      <w:pPr>
        <w:pStyle w:val="Odstavecseseznamem"/>
        <w:numPr>
          <w:ilvl w:val="0"/>
          <w:numId w:val="1"/>
        </w:numPr>
      </w:pPr>
      <w:r>
        <w:t>Komponenta DPH - z</w:t>
      </w:r>
      <w:r w:rsidR="00373FCD">
        <w:t>ákladní nastavení –</w:t>
      </w:r>
      <w:r w:rsidR="00485621">
        <w:t xml:space="preserve"> </w:t>
      </w:r>
      <w:r w:rsidR="00373FCD">
        <w:t>pro funkčnost komponenty DPH dle schválených novel</w:t>
      </w:r>
      <w:r>
        <w:t xml:space="preserve"> </w:t>
      </w:r>
      <w:r w:rsidR="00485621">
        <w:t xml:space="preserve">nutné realizovat k 1. 1. 2015 </w:t>
      </w:r>
      <w:r>
        <w:t xml:space="preserve">(druhá snížená sazba, </w:t>
      </w:r>
      <w:r w:rsidR="00DB28E3">
        <w:t xml:space="preserve">příp. </w:t>
      </w:r>
      <w:r w:rsidR="00B32A16">
        <w:t>rozšíření režimu přenesení daňové povinnosti)</w:t>
      </w:r>
    </w:p>
    <w:p w:rsidR="00B32A16" w:rsidRDefault="00B32A16" w:rsidP="00373FCD">
      <w:pPr>
        <w:pStyle w:val="Odstavecseseznamem"/>
        <w:numPr>
          <w:ilvl w:val="0"/>
          <w:numId w:val="1"/>
        </w:numPr>
      </w:pPr>
      <w:r>
        <w:t>Komponenta OBCHOD – nastavení parametrů na obchodovatelných artiklech</w:t>
      </w:r>
      <w:r w:rsidR="005C46B7">
        <w:t xml:space="preserve"> – TZP, příp.</w:t>
      </w:r>
      <w:r w:rsidR="00E7738C">
        <w:t xml:space="preserve"> režim přenesení daňové povinnosti</w:t>
      </w:r>
      <w:r w:rsidR="004D2FED">
        <w:t xml:space="preserve"> – Klasifikace artiklu</w:t>
      </w:r>
    </w:p>
    <w:p w:rsidR="00B32A16" w:rsidRDefault="00B32A16" w:rsidP="00373FCD">
      <w:pPr>
        <w:pStyle w:val="Odstavecseseznamem"/>
        <w:numPr>
          <w:ilvl w:val="0"/>
          <w:numId w:val="1"/>
        </w:numPr>
      </w:pPr>
      <w:r>
        <w:t>Řízení procesů – v př</w:t>
      </w:r>
      <w:r w:rsidR="00107DE2">
        <w:t>ípadě limitu na uplatnění režimu</w:t>
      </w:r>
      <w:r>
        <w:t xml:space="preserve"> přenesení daňové povinnosti</w:t>
      </w:r>
    </w:p>
    <w:p w:rsidR="00B32A16" w:rsidRDefault="00B32A16" w:rsidP="00373FCD">
      <w:pPr>
        <w:pStyle w:val="Odstavecseseznamem"/>
        <w:numPr>
          <w:ilvl w:val="0"/>
          <w:numId w:val="1"/>
        </w:numPr>
      </w:pPr>
      <w:r>
        <w:t>Formuláře – DPH přiznání, DPHEVD</w:t>
      </w:r>
    </w:p>
    <w:p w:rsidR="00373FCD" w:rsidRDefault="00B32A16" w:rsidP="00B32A16">
      <w:r>
        <w:t>V případě jaký</w:t>
      </w:r>
      <w:r w:rsidR="006D68F6">
        <w:t>ch</w:t>
      </w:r>
      <w:r>
        <w:t>koliv nejasností se o</w:t>
      </w:r>
      <w:r w:rsidR="00CD6D34">
        <w:t>braťte na svého implementátora.</w:t>
      </w:r>
    </w:p>
    <w:p w:rsidR="00CD6D34" w:rsidRPr="00373FCD" w:rsidRDefault="00CD6D34" w:rsidP="00B32A16"/>
    <w:p w:rsidR="00DE71C5" w:rsidRPr="00FD486F" w:rsidRDefault="00E53EDC" w:rsidP="003B61FD">
      <w:pPr>
        <w:pStyle w:val="Nadpis1"/>
        <w:rPr>
          <w:rStyle w:val="Zvraznn"/>
          <w:b w:val="0"/>
          <w:color w:val="auto"/>
        </w:rPr>
      </w:pPr>
      <w:r>
        <w:rPr>
          <w:rStyle w:val="Zvraznn"/>
          <w:b w:val="0"/>
          <w:color w:val="auto"/>
        </w:rPr>
        <w:t>D</w:t>
      </w:r>
      <w:r w:rsidR="00027459">
        <w:rPr>
          <w:rStyle w:val="Zvraznn"/>
          <w:b w:val="0"/>
          <w:color w:val="auto"/>
        </w:rPr>
        <w:t>PH d</w:t>
      </w:r>
      <w:r w:rsidR="00492449">
        <w:rPr>
          <w:rStyle w:val="Zvraznn"/>
          <w:b w:val="0"/>
          <w:color w:val="auto"/>
        </w:rPr>
        <w:t>ruhá</w:t>
      </w:r>
      <w:r w:rsidR="00DE71C5" w:rsidRPr="00FD486F">
        <w:rPr>
          <w:rStyle w:val="Zvraznn"/>
          <w:b w:val="0"/>
          <w:color w:val="auto"/>
        </w:rPr>
        <w:t xml:space="preserve"> </w:t>
      </w:r>
      <w:r w:rsidR="003B61FD" w:rsidRPr="00FD486F">
        <w:rPr>
          <w:rStyle w:val="Zvraznn"/>
          <w:b w:val="0"/>
          <w:color w:val="auto"/>
        </w:rPr>
        <w:t>s</w:t>
      </w:r>
      <w:r w:rsidR="000C09CC" w:rsidRPr="00FD486F">
        <w:rPr>
          <w:rStyle w:val="Zvraznn"/>
          <w:b w:val="0"/>
          <w:color w:val="auto"/>
        </w:rPr>
        <w:t>nížená</w:t>
      </w:r>
      <w:r w:rsidR="00027459">
        <w:rPr>
          <w:rStyle w:val="Zvraznn"/>
          <w:b w:val="0"/>
          <w:color w:val="auto"/>
        </w:rPr>
        <w:t xml:space="preserve"> sazba</w:t>
      </w:r>
    </w:p>
    <w:p w:rsidR="00DE71C5" w:rsidRDefault="00DE71C5"/>
    <w:p w:rsidR="00AA3034" w:rsidRPr="00B46120" w:rsidRDefault="00E7738C">
      <w:pPr>
        <w:rPr>
          <w:b/>
        </w:rPr>
      </w:pPr>
      <w:r w:rsidRPr="00B46120">
        <w:rPr>
          <w:b/>
        </w:rPr>
        <w:t>První krok:</w:t>
      </w:r>
    </w:p>
    <w:p w:rsidR="00DE71C5" w:rsidRDefault="00AA3034">
      <w:r>
        <w:t>C</w:t>
      </w:r>
      <w:r w:rsidR="00DE71C5">
        <w:t>izojazyčností</w:t>
      </w:r>
      <w:r w:rsidR="000C09CC">
        <w:t xml:space="preserve"> </w:t>
      </w:r>
      <w:r w:rsidR="00211F9B">
        <w:t>definovat</w:t>
      </w:r>
      <w:r w:rsidR="00CA3655">
        <w:t xml:space="preserve"> zdanitelné plnění</w:t>
      </w:r>
      <w:r w:rsidR="003B61FD">
        <w:t xml:space="preserve"> „</w:t>
      </w:r>
      <w:r w:rsidR="000C09CC">
        <w:t>Snížená 2</w:t>
      </w:r>
      <w:r w:rsidR="003B61FD">
        <w:t>“</w:t>
      </w:r>
      <w:r w:rsidR="00E7738C">
        <w:t xml:space="preserve">, </w:t>
      </w:r>
      <w:r w:rsidR="00E7738C" w:rsidRPr="00CD6D34">
        <w:rPr>
          <w:color w:val="FF0000"/>
        </w:rPr>
        <w:t>zakládá uživatel s právy správce</w:t>
      </w:r>
      <w:r w:rsidR="00BE66C6" w:rsidRPr="00CD6D34">
        <w:rPr>
          <w:color w:val="FF0000"/>
        </w:rPr>
        <w:t xml:space="preserve"> </w:t>
      </w:r>
      <w:r w:rsidR="00BE66C6">
        <w:t>pro</w:t>
      </w:r>
      <w:r w:rsidR="00E7738C">
        <w:t xml:space="preserve"> IS BM.</w:t>
      </w:r>
    </w:p>
    <w:p w:rsidR="00C97CE9" w:rsidRDefault="00B81AB9">
      <w:r>
        <w:rPr>
          <w:noProof/>
          <w:lang w:eastAsia="cs-CZ"/>
        </w:rPr>
        <w:drawing>
          <wp:inline distT="0" distB="0" distL="0" distR="0" wp14:anchorId="0209B353" wp14:editId="493135A4">
            <wp:extent cx="5758180" cy="283400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48" w:rsidRDefault="00DB28E3">
      <w:r>
        <w:t xml:space="preserve">V činnosti události DPH na výběrové záložce je k dispozici nový atribut </w:t>
      </w:r>
      <w:r w:rsidR="0033744D">
        <w:t>Zdanitelné plnění. Pro bezchybný chod je nutné cizojazyčností definovat další zdanitelná plnění, tzn. podle obrázku nutno vyplnit atribut Přeložený text:</w:t>
      </w:r>
    </w:p>
    <w:p w:rsidR="000F2967" w:rsidRDefault="000F2967">
      <w:proofErr w:type="spellStart"/>
      <w:proofErr w:type="gramStart"/>
      <w:r w:rsidRPr="000F2967">
        <w:t>Vše,Nepodléhá</w:t>
      </w:r>
      <w:proofErr w:type="spellEnd"/>
      <w:proofErr w:type="gramEnd"/>
      <w:r w:rsidRPr="000F2967">
        <w:t xml:space="preserve"> </w:t>
      </w:r>
      <w:proofErr w:type="spellStart"/>
      <w:r w:rsidRPr="000F2967">
        <w:t>dani,Osvobozená</w:t>
      </w:r>
      <w:proofErr w:type="spellEnd"/>
      <w:r w:rsidRPr="000F2967">
        <w:t xml:space="preserve"> pro </w:t>
      </w:r>
      <w:proofErr w:type="spellStart"/>
      <w:r w:rsidRPr="000F2967">
        <w:t>koef</w:t>
      </w:r>
      <w:proofErr w:type="spellEnd"/>
      <w:r w:rsidRPr="000F2967">
        <w:t>.,</w:t>
      </w:r>
      <w:proofErr w:type="spellStart"/>
      <w:r w:rsidRPr="000F2967">
        <w:t>Snížená,Základní,Historie</w:t>
      </w:r>
      <w:proofErr w:type="spellEnd"/>
      <w:r w:rsidRPr="000F2967">
        <w:t xml:space="preserve"> - </w:t>
      </w:r>
      <w:proofErr w:type="spellStart"/>
      <w:r w:rsidRPr="000F2967">
        <w:t>Doč.použití,Historie</w:t>
      </w:r>
      <w:proofErr w:type="spellEnd"/>
      <w:r w:rsidRPr="000F2967">
        <w:t xml:space="preserve"> - </w:t>
      </w:r>
      <w:proofErr w:type="spellStart"/>
      <w:r w:rsidRPr="000F2967">
        <w:t>Fin.pronájem,Osvobozeno,Osvoboze</w:t>
      </w:r>
      <w:r>
        <w:t>no</w:t>
      </w:r>
      <w:proofErr w:type="spellEnd"/>
      <w:r>
        <w:t xml:space="preserve">-třístranný </w:t>
      </w:r>
      <w:proofErr w:type="spellStart"/>
      <w:r>
        <w:t>obchod,Snížená</w:t>
      </w:r>
      <w:proofErr w:type="spellEnd"/>
      <w:r>
        <w:t xml:space="preserve"> 2</w:t>
      </w:r>
    </w:p>
    <w:p w:rsidR="002C1A48" w:rsidRDefault="002C1A48"/>
    <w:p w:rsidR="002C1A48" w:rsidRDefault="002C1A48">
      <w:r w:rsidRPr="002C1A48">
        <w:rPr>
          <w:color w:val="FF0000"/>
        </w:rPr>
        <w:lastRenderedPageBreak/>
        <w:t xml:space="preserve">Zakládá uživatel s právy správce </w:t>
      </w:r>
      <w:r>
        <w:t>pro IS BM.</w:t>
      </w:r>
    </w:p>
    <w:p w:rsidR="000F2967" w:rsidRDefault="001D6F04">
      <w:r>
        <w:rPr>
          <w:noProof/>
          <w:lang w:eastAsia="cs-CZ"/>
        </w:rPr>
        <w:drawing>
          <wp:inline distT="0" distB="0" distL="0" distR="0">
            <wp:extent cx="5758180" cy="2806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D1" w:rsidRDefault="006F5CD1">
      <w:r>
        <w:rPr>
          <w:noProof/>
          <w:lang w:eastAsia="cs-CZ"/>
        </w:rPr>
        <w:drawing>
          <wp:inline distT="0" distB="0" distL="0" distR="0">
            <wp:extent cx="5758180" cy="350393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48" w:rsidRDefault="002C1A48"/>
    <w:p w:rsidR="001D273D" w:rsidRPr="00B46120" w:rsidRDefault="00211F9B">
      <w:pPr>
        <w:rPr>
          <w:b/>
        </w:rPr>
      </w:pPr>
      <w:r w:rsidRPr="00B46120">
        <w:rPr>
          <w:b/>
        </w:rPr>
        <w:t xml:space="preserve">Druhý krok: </w:t>
      </w:r>
    </w:p>
    <w:p w:rsidR="00967F03" w:rsidRDefault="00C71CEC">
      <w:r>
        <w:t>N</w:t>
      </w:r>
      <w:r w:rsidR="00211F9B">
        <w:t>ový Typ zdanitelného plnění</w:t>
      </w:r>
      <w:r w:rsidR="001D273D">
        <w:t xml:space="preserve"> </w:t>
      </w:r>
      <w:r>
        <w:t xml:space="preserve">„Snížená 2“ </w:t>
      </w:r>
      <w:r w:rsidR="001D273D">
        <w:t xml:space="preserve">s identifikací </w:t>
      </w:r>
      <w:r w:rsidR="00967F03">
        <w:t xml:space="preserve">„SB1“ </w:t>
      </w:r>
      <w:r>
        <w:t xml:space="preserve">založte </w:t>
      </w:r>
      <w:r w:rsidRPr="00C71CEC">
        <w:rPr>
          <w:color w:val="FF0000"/>
        </w:rPr>
        <w:t>importem balíčku</w:t>
      </w:r>
      <w:r w:rsidR="001D273D" w:rsidRPr="00C71CEC">
        <w:rPr>
          <w:color w:val="FF0000"/>
        </w:rPr>
        <w:t xml:space="preserve"> </w:t>
      </w:r>
      <w:r w:rsidRPr="00C71CEC">
        <w:rPr>
          <w:color w:val="FF0000"/>
        </w:rPr>
        <w:t>DPH_2015_TZP</w:t>
      </w:r>
      <w:r w:rsidR="00211F9B">
        <w:t>.</w:t>
      </w:r>
      <w:r>
        <w:t xml:space="preserve"> Import provede následující změny:</w:t>
      </w:r>
    </w:p>
    <w:p w:rsidR="00CD6D34" w:rsidRDefault="00AA3034" w:rsidP="008454F8">
      <w:r>
        <w:rPr>
          <w:noProof/>
          <w:lang w:eastAsia="cs-CZ"/>
        </w:rPr>
        <w:lastRenderedPageBreak/>
        <w:drawing>
          <wp:inline distT="0" distB="0" distL="0" distR="0" wp14:anchorId="7FE3C126" wp14:editId="5F75C736">
            <wp:extent cx="5915160" cy="3069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22" cy="307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34" w:rsidRDefault="00CD6D34" w:rsidP="008454F8"/>
    <w:p w:rsidR="001C5E54" w:rsidRDefault="001C5E54" w:rsidP="008454F8">
      <w:r>
        <w:t xml:space="preserve">Na záložce „Sazby DPH“ ponechejte uvedené syntetické účty 343 – </w:t>
      </w:r>
      <w:proofErr w:type="gramStart"/>
      <w:r>
        <w:t>viz. obrázek</w:t>
      </w:r>
      <w:proofErr w:type="gramEnd"/>
      <w:r>
        <w:t>:</w:t>
      </w:r>
    </w:p>
    <w:p w:rsidR="00CD6D34" w:rsidRDefault="004C0D91" w:rsidP="008454F8">
      <w:r>
        <w:rPr>
          <w:noProof/>
          <w:lang w:eastAsia="cs-CZ"/>
        </w:rPr>
        <w:drawing>
          <wp:inline distT="0" distB="0" distL="0" distR="0" wp14:anchorId="51090731" wp14:editId="6265D48A">
            <wp:extent cx="5928642" cy="356706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24" cy="35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97" w:rsidRDefault="003D6897" w:rsidP="008454F8"/>
    <w:p w:rsidR="003D6897" w:rsidRDefault="003D6897" w:rsidP="008454F8">
      <w:r>
        <w:t xml:space="preserve">Po importu je třeba </w:t>
      </w:r>
      <w:r w:rsidRPr="009D60AD">
        <w:rPr>
          <w:color w:val="FF0000"/>
        </w:rPr>
        <w:t>ručně</w:t>
      </w:r>
      <w:r>
        <w:t xml:space="preserve"> aktualizovat v atributu „Účet“ vámi používanou analytiku 343 v každém novém uplatnění TZP SB1 (Komponenta DPH – Uplatnění předmětů zdanitelného plnění). Viz. </w:t>
      </w:r>
      <w:proofErr w:type="gramStart"/>
      <w:r>
        <w:t>obrázek</w:t>
      </w:r>
      <w:proofErr w:type="gramEnd"/>
      <w:r>
        <w:t>:</w:t>
      </w:r>
    </w:p>
    <w:p w:rsidR="008454F8" w:rsidRDefault="008454F8" w:rsidP="008454F8">
      <w:r>
        <w:rPr>
          <w:noProof/>
          <w:lang w:eastAsia="cs-CZ"/>
        </w:rPr>
        <w:lastRenderedPageBreak/>
        <w:drawing>
          <wp:inline distT="0" distB="0" distL="0" distR="0" wp14:anchorId="4570720A" wp14:editId="05D3C44D">
            <wp:extent cx="5758180" cy="28702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48" w:rsidRDefault="002C1A48"/>
    <w:p w:rsidR="00E10144" w:rsidRPr="00B46120" w:rsidRDefault="00C71CEC">
      <w:pPr>
        <w:rPr>
          <w:b/>
        </w:rPr>
      </w:pPr>
      <w:r>
        <w:rPr>
          <w:b/>
        </w:rPr>
        <w:t>Třetí</w:t>
      </w:r>
      <w:r w:rsidR="00E10144" w:rsidRPr="00B46120">
        <w:rPr>
          <w:b/>
        </w:rPr>
        <w:t xml:space="preserve"> krok:</w:t>
      </w:r>
    </w:p>
    <w:p w:rsidR="00A861B0" w:rsidRDefault="00E10144">
      <w:r>
        <w:t xml:space="preserve">Na čtvrté záložce je vhodné pro typ zdanitelného plnění „SB1“ </w:t>
      </w:r>
      <w:r w:rsidR="008454F8" w:rsidRPr="008454F8">
        <w:rPr>
          <w:color w:val="FF0000"/>
        </w:rPr>
        <w:t>ručně</w:t>
      </w:r>
      <w:r w:rsidR="008454F8">
        <w:t xml:space="preserve"> </w:t>
      </w:r>
      <w:r>
        <w:t>vytvořit vámi používané Substituce – půjde o obdobu zadání pro typ TZP „SA1“ dle vašich individuálních</w:t>
      </w:r>
      <w:r w:rsidR="00A861B0">
        <w:t xml:space="preserve"> potřeb.</w:t>
      </w:r>
      <w:r w:rsidR="008D4544">
        <w:t xml:space="preserve"> Např. pro nákup a dodání </w:t>
      </w:r>
      <w:r w:rsidR="00F40412">
        <w:t xml:space="preserve">zboží </w:t>
      </w:r>
      <w:r w:rsidR="008D4544">
        <w:t>EU:</w:t>
      </w:r>
    </w:p>
    <w:p w:rsidR="00191CAD" w:rsidRDefault="008D4544">
      <w:r>
        <w:rPr>
          <w:noProof/>
          <w:lang w:eastAsia="cs-CZ"/>
        </w:rPr>
        <w:drawing>
          <wp:inline distT="0" distB="0" distL="0" distR="0" wp14:anchorId="0B1FAB72" wp14:editId="5900EF3B">
            <wp:extent cx="5758180" cy="38023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DAE" w:rsidRDefault="00867DAE"/>
    <w:p w:rsidR="00867DAE" w:rsidRDefault="00867DAE"/>
    <w:p w:rsidR="000D75A2" w:rsidRPr="00DD00F8" w:rsidRDefault="00DD00F8" w:rsidP="00DD00F8">
      <w:pPr>
        <w:pStyle w:val="Podtitul"/>
        <w:rPr>
          <w:color w:val="auto"/>
          <w:sz w:val="28"/>
          <w:szCs w:val="28"/>
        </w:rPr>
      </w:pPr>
      <w:r w:rsidRPr="00DD00F8">
        <w:rPr>
          <w:color w:val="auto"/>
          <w:sz w:val="28"/>
          <w:szCs w:val="28"/>
        </w:rPr>
        <w:lastRenderedPageBreak/>
        <w:t>DPH rozšíření režimu přenesení daňové povinnosti</w:t>
      </w:r>
    </w:p>
    <w:p w:rsidR="00E210C0" w:rsidRDefault="00867DAE">
      <w:r>
        <w:t xml:space="preserve">V </w:t>
      </w:r>
      <w:r w:rsidR="00DD00F8">
        <w:t xml:space="preserve">Komponentě DPH </w:t>
      </w:r>
      <w:r w:rsidR="00B1716B">
        <w:t xml:space="preserve">– TZP – záložka Substituce je možné nastavit odpovídající kombinace, které slouží pro automatickou funkčnost při volbě TZP </w:t>
      </w:r>
      <w:r w:rsidR="008D2291">
        <w:t>„</w:t>
      </w:r>
      <w:r w:rsidR="00B1716B">
        <w:t>OSV</w:t>
      </w:r>
      <w:r w:rsidR="008D2291">
        <w:t>“</w:t>
      </w:r>
      <w:r w:rsidR="00B1716B">
        <w:t xml:space="preserve"> </w:t>
      </w:r>
      <w:r>
        <w:t xml:space="preserve">pro plátce DPH </w:t>
      </w:r>
      <w:r w:rsidR="00B1716B">
        <w:t xml:space="preserve">místo </w:t>
      </w:r>
      <w:r w:rsidR="003B26BC">
        <w:t>TZP uvedeného u konkrétního obchodovatelného artiklu</w:t>
      </w:r>
      <w:r w:rsidR="00B1716B">
        <w:t xml:space="preserve"> </w:t>
      </w:r>
      <w:r w:rsidR="008D2291">
        <w:t>„</w:t>
      </w:r>
      <w:r w:rsidR="00B1716B">
        <w:t>ZA1</w:t>
      </w:r>
      <w:r w:rsidR="008D2291">
        <w:t>“</w:t>
      </w:r>
      <w:r w:rsidR="00B1716B">
        <w:t xml:space="preserve">, </w:t>
      </w:r>
      <w:r w:rsidR="008D2291">
        <w:t>„</w:t>
      </w:r>
      <w:r w:rsidR="00B1716B">
        <w:t>SA1</w:t>
      </w:r>
      <w:r w:rsidR="008D2291">
        <w:t>“</w:t>
      </w:r>
      <w:r w:rsidR="003B26BC">
        <w:t xml:space="preserve"> nebo</w:t>
      </w:r>
      <w:r w:rsidR="00B1716B">
        <w:t xml:space="preserve"> </w:t>
      </w:r>
      <w:r w:rsidR="008D2291">
        <w:t>„</w:t>
      </w:r>
      <w:r w:rsidR="00B1716B">
        <w:t>SB1</w:t>
      </w:r>
      <w:r w:rsidR="008D2291">
        <w:t>“</w:t>
      </w:r>
      <w:r w:rsidR="00B1716B">
        <w:t>.</w:t>
      </w:r>
      <w:r w:rsidR="00C45F16">
        <w:t xml:space="preserve"> </w:t>
      </w:r>
    </w:p>
    <w:p w:rsidR="00E210C0" w:rsidRDefault="00E210C0"/>
    <w:p w:rsidR="003D1FEB" w:rsidRPr="004102B9" w:rsidRDefault="00067637" w:rsidP="004102B9">
      <w:pPr>
        <w:pStyle w:val="Podtitul"/>
        <w:rPr>
          <w:color w:val="auto"/>
          <w:sz w:val="28"/>
          <w:szCs w:val="28"/>
        </w:rPr>
      </w:pPr>
      <w:r w:rsidRPr="004102B9">
        <w:rPr>
          <w:color w:val="auto"/>
          <w:sz w:val="28"/>
          <w:szCs w:val="28"/>
        </w:rPr>
        <w:t>Komponenta OBCHOD</w:t>
      </w:r>
    </w:p>
    <w:p w:rsidR="00067637" w:rsidRPr="00DD00F8" w:rsidRDefault="00DD00F8" w:rsidP="00067637">
      <w:pPr>
        <w:pStyle w:val="Bezmezer"/>
        <w:rPr>
          <w:b/>
        </w:rPr>
      </w:pPr>
      <w:r>
        <w:rPr>
          <w:b/>
        </w:rPr>
        <w:t>O</w:t>
      </w:r>
      <w:r w:rsidR="002F1EF9">
        <w:rPr>
          <w:b/>
        </w:rPr>
        <w:t>blast</w:t>
      </w:r>
      <w:r>
        <w:rPr>
          <w:b/>
        </w:rPr>
        <w:t xml:space="preserve"> TZP SB1</w:t>
      </w:r>
      <w:r w:rsidRPr="00DD00F8">
        <w:rPr>
          <w:b/>
        </w:rPr>
        <w:t>:</w:t>
      </w:r>
    </w:p>
    <w:p w:rsidR="00DD00F8" w:rsidRDefault="00DD00F8" w:rsidP="00067637">
      <w:pPr>
        <w:pStyle w:val="Bezmezer"/>
      </w:pPr>
    </w:p>
    <w:p w:rsidR="004102B9" w:rsidRDefault="004102B9">
      <w:r>
        <w:t xml:space="preserve">Pro automatické </w:t>
      </w:r>
      <w:proofErr w:type="spellStart"/>
      <w:r>
        <w:t>předplnění</w:t>
      </w:r>
      <w:proofErr w:type="spellEnd"/>
      <w:r>
        <w:t xml:space="preserve"> TZP SB1 na událostech Obchodu je vhodné na stávajících obchodovatelných artiklech</w:t>
      </w:r>
      <w:r w:rsidR="00E9063A">
        <w:t xml:space="preserve"> (komponenta OBCHOD – </w:t>
      </w:r>
      <w:r w:rsidR="00B225B3">
        <w:t>Obchodovatelný artikl</w:t>
      </w:r>
      <w:r w:rsidR="00E9063A">
        <w:t>)</w:t>
      </w:r>
      <w:r>
        <w:t>, které byly novelou zákona o DPH přesunuty do druhé snížené sazby, změnit TZP z „SA1“ na „SB1“.</w:t>
      </w:r>
    </w:p>
    <w:p w:rsidR="00130263" w:rsidRDefault="00130263">
      <w:r>
        <w:t>Poznámka:</w:t>
      </w:r>
      <w:r w:rsidR="002257B3">
        <w:t xml:space="preserve"> </w:t>
      </w:r>
      <w:r>
        <w:t>Je třeba věnovat zvýšenou pozornost dokladům z přelomu roku, např. objednávka je z prosince 2014, dodání a fakturace proběhne až v roce 2015. Chování IS BM v těchto případech je dáno specifickým implementačním nastavením u každého uživatele.</w:t>
      </w:r>
    </w:p>
    <w:p w:rsidR="00BD19BE" w:rsidRDefault="002257B3">
      <w:r>
        <w:t>Nově je doplněna n</w:t>
      </w:r>
      <w:r w:rsidR="00B225B3">
        <w:t>a klávese „CTRL S“ nad událostmi Obchodu infor</w:t>
      </w:r>
      <w:r w:rsidR="003F6500">
        <w:t>mace o výši druhé snížené sazby.</w:t>
      </w:r>
    </w:p>
    <w:p w:rsidR="00BD19BE" w:rsidRDefault="00BD19BE"/>
    <w:p w:rsidR="00B97F4A" w:rsidRPr="00BD19BE" w:rsidRDefault="00DD00F8">
      <w:pPr>
        <w:rPr>
          <w:b/>
        </w:rPr>
      </w:pPr>
      <w:r w:rsidRPr="00BD19BE">
        <w:rPr>
          <w:b/>
        </w:rPr>
        <w:t>O</w:t>
      </w:r>
      <w:r w:rsidR="002F1EF9">
        <w:rPr>
          <w:b/>
        </w:rPr>
        <w:t xml:space="preserve">blast </w:t>
      </w:r>
      <w:r w:rsidRPr="00BD19BE">
        <w:rPr>
          <w:b/>
        </w:rPr>
        <w:t>přenesení daňové povinnosti:</w:t>
      </w:r>
    </w:p>
    <w:p w:rsidR="0038241E" w:rsidRDefault="002F1EF9">
      <w:r>
        <w:t xml:space="preserve">V případě schválení novely </w:t>
      </w:r>
      <w:r w:rsidR="009D03AD">
        <w:t xml:space="preserve">bude nutné na </w:t>
      </w:r>
      <w:r w:rsidR="00E20914">
        <w:t xml:space="preserve">vyjmenovaných </w:t>
      </w:r>
      <w:r w:rsidR="009D03AD">
        <w:t>artiklech</w:t>
      </w:r>
      <w:r w:rsidR="00E817EA">
        <w:t>,</w:t>
      </w:r>
      <w:r w:rsidR="00E20914">
        <w:t xml:space="preserve"> </w:t>
      </w:r>
      <w:r w:rsidR="009D03AD">
        <w:t>určit atribut Klasifikace artiklu dle přiloženého obrázku:</w:t>
      </w:r>
      <w:r>
        <w:t xml:space="preserve"> </w:t>
      </w:r>
    </w:p>
    <w:p w:rsidR="0038241E" w:rsidRDefault="00B1716B">
      <w:r>
        <w:rPr>
          <w:noProof/>
          <w:lang w:eastAsia="cs-CZ"/>
        </w:rPr>
        <w:drawing>
          <wp:inline distT="0" distB="0" distL="0" distR="0">
            <wp:extent cx="5758180" cy="24352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E3" w:rsidRDefault="00E20914">
      <w:r>
        <w:t>Po upřesnění způsobu vykazování v</w:t>
      </w:r>
      <w:r w:rsidR="009805E4">
        <w:t>e Výpisu z evidence pro účely DPH (DPHEVD) bude třeba aktualizovat také druhou záložku „</w:t>
      </w:r>
      <w:proofErr w:type="spellStart"/>
      <w:r w:rsidR="009805E4">
        <w:t>Rozš</w:t>
      </w:r>
      <w:proofErr w:type="spellEnd"/>
      <w:r w:rsidR="009805E4">
        <w:t xml:space="preserve">. </w:t>
      </w:r>
      <w:proofErr w:type="gramStart"/>
      <w:r w:rsidR="009805E4">
        <w:t>údaje</w:t>
      </w:r>
      <w:proofErr w:type="gramEnd"/>
      <w:r w:rsidR="009805E4">
        <w:t>“.</w:t>
      </w:r>
      <w:r w:rsidR="002C1A48">
        <w:t xml:space="preserve"> Nastavení IS BM upřesníme, až budou potřebné údaje k dispozici.</w:t>
      </w:r>
      <w:bookmarkStart w:id="0" w:name="_GoBack"/>
      <w:bookmarkEnd w:id="0"/>
    </w:p>
    <w:sectPr w:rsidR="00C3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7372"/>
    <w:multiLevelType w:val="hybridMultilevel"/>
    <w:tmpl w:val="44829594"/>
    <w:lvl w:ilvl="0" w:tplc="8DD6C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90"/>
    <w:rsid w:val="00027459"/>
    <w:rsid w:val="00067637"/>
    <w:rsid w:val="000C09CC"/>
    <w:rsid w:val="000D75A2"/>
    <w:rsid w:val="000F2967"/>
    <w:rsid w:val="00102B90"/>
    <w:rsid w:val="00107DE2"/>
    <w:rsid w:val="00130263"/>
    <w:rsid w:val="00191CAD"/>
    <w:rsid w:val="001C5E54"/>
    <w:rsid w:val="001D273D"/>
    <w:rsid w:val="001D6F04"/>
    <w:rsid w:val="001F7AD9"/>
    <w:rsid w:val="00205B0B"/>
    <w:rsid w:val="00211F9B"/>
    <w:rsid w:val="002257B3"/>
    <w:rsid w:val="0023762D"/>
    <w:rsid w:val="002445F7"/>
    <w:rsid w:val="002647A7"/>
    <w:rsid w:val="002C1A48"/>
    <w:rsid w:val="002F1EF9"/>
    <w:rsid w:val="003112F4"/>
    <w:rsid w:val="003214C9"/>
    <w:rsid w:val="0033744D"/>
    <w:rsid w:val="00337C93"/>
    <w:rsid w:val="00373FCD"/>
    <w:rsid w:val="0038241E"/>
    <w:rsid w:val="003A3188"/>
    <w:rsid w:val="003B26BC"/>
    <w:rsid w:val="003B61FD"/>
    <w:rsid w:val="003D1FEB"/>
    <w:rsid w:val="003D6897"/>
    <w:rsid w:val="003F6500"/>
    <w:rsid w:val="004102B9"/>
    <w:rsid w:val="00442372"/>
    <w:rsid w:val="00485621"/>
    <w:rsid w:val="00492449"/>
    <w:rsid w:val="004C0D91"/>
    <w:rsid w:val="004D2FED"/>
    <w:rsid w:val="00500BD5"/>
    <w:rsid w:val="005C46B7"/>
    <w:rsid w:val="00642363"/>
    <w:rsid w:val="00651FC1"/>
    <w:rsid w:val="006628EB"/>
    <w:rsid w:val="0068110B"/>
    <w:rsid w:val="006D31A2"/>
    <w:rsid w:val="006D68F6"/>
    <w:rsid w:val="006F1779"/>
    <w:rsid w:val="006F5CD1"/>
    <w:rsid w:val="00774035"/>
    <w:rsid w:val="007D64AB"/>
    <w:rsid w:val="0080473E"/>
    <w:rsid w:val="00807585"/>
    <w:rsid w:val="008454F8"/>
    <w:rsid w:val="00867DAE"/>
    <w:rsid w:val="008A25B0"/>
    <w:rsid w:val="008B0029"/>
    <w:rsid w:val="008D2291"/>
    <w:rsid w:val="008D4544"/>
    <w:rsid w:val="008D4E42"/>
    <w:rsid w:val="00967F03"/>
    <w:rsid w:val="009800A5"/>
    <w:rsid w:val="009805E4"/>
    <w:rsid w:val="009B2F1D"/>
    <w:rsid w:val="009D03AD"/>
    <w:rsid w:val="009D60AD"/>
    <w:rsid w:val="00A417A5"/>
    <w:rsid w:val="00A505E4"/>
    <w:rsid w:val="00A861B0"/>
    <w:rsid w:val="00AA3034"/>
    <w:rsid w:val="00B1716B"/>
    <w:rsid w:val="00B225B3"/>
    <w:rsid w:val="00B32A16"/>
    <w:rsid w:val="00B440B4"/>
    <w:rsid w:val="00B46120"/>
    <w:rsid w:val="00B81AB9"/>
    <w:rsid w:val="00B933FF"/>
    <w:rsid w:val="00B97F4A"/>
    <w:rsid w:val="00BD19BE"/>
    <w:rsid w:val="00BD5A3D"/>
    <w:rsid w:val="00BE66C6"/>
    <w:rsid w:val="00C35878"/>
    <w:rsid w:val="00C361E3"/>
    <w:rsid w:val="00C45F16"/>
    <w:rsid w:val="00C71CEC"/>
    <w:rsid w:val="00C97CE9"/>
    <w:rsid w:val="00CA3655"/>
    <w:rsid w:val="00CA4483"/>
    <w:rsid w:val="00CC0F7F"/>
    <w:rsid w:val="00CC300A"/>
    <w:rsid w:val="00CD6D34"/>
    <w:rsid w:val="00DB28E3"/>
    <w:rsid w:val="00DD00F8"/>
    <w:rsid w:val="00DE71C5"/>
    <w:rsid w:val="00E0663B"/>
    <w:rsid w:val="00E10144"/>
    <w:rsid w:val="00E20914"/>
    <w:rsid w:val="00E210C0"/>
    <w:rsid w:val="00E53EDC"/>
    <w:rsid w:val="00E61074"/>
    <w:rsid w:val="00E7225A"/>
    <w:rsid w:val="00E7738C"/>
    <w:rsid w:val="00E817EA"/>
    <w:rsid w:val="00E9063A"/>
    <w:rsid w:val="00EF061F"/>
    <w:rsid w:val="00F02AD4"/>
    <w:rsid w:val="00F40412"/>
    <w:rsid w:val="00F93BC1"/>
    <w:rsid w:val="00FC130D"/>
    <w:rsid w:val="00FD4206"/>
    <w:rsid w:val="00FD486F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6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B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4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4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D486F"/>
    <w:rPr>
      <w:i/>
      <w:iCs/>
    </w:rPr>
  </w:style>
  <w:style w:type="paragraph" w:styleId="Odstavecseseznamem">
    <w:name w:val="List Paragraph"/>
    <w:basedOn w:val="Normln"/>
    <w:uiPriority w:val="34"/>
    <w:qFormat/>
    <w:rsid w:val="00373FCD"/>
    <w:pPr>
      <w:ind w:left="720"/>
      <w:contextualSpacing/>
    </w:pPr>
  </w:style>
  <w:style w:type="paragraph" w:styleId="Bezmezer">
    <w:name w:val="No Spacing"/>
    <w:uiPriority w:val="1"/>
    <w:qFormat/>
    <w:rsid w:val="0006763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102B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6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B0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4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4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D486F"/>
    <w:rPr>
      <w:i/>
      <w:iCs/>
    </w:rPr>
  </w:style>
  <w:style w:type="paragraph" w:styleId="Odstavecseseznamem">
    <w:name w:val="List Paragraph"/>
    <w:basedOn w:val="Normln"/>
    <w:uiPriority w:val="34"/>
    <w:qFormat/>
    <w:rsid w:val="00373FCD"/>
    <w:pPr>
      <w:ind w:left="720"/>
      <w:contextualSpacing/>
    </w:pPr>
  </w:style>
  <w:style w:type="paragraph" w:styleId="Bezmezer">
    <w:name w:val="No Spacing"/>
    <w:uiPriority w:val="1"/>
    <w:qFormat/>
    <w:rsid w:val="0006763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102B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E4FD-94BE-47EF-A42A-0CD7165E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</dc:creator>
  <cp:lastModifiedBy>tumova</cp:lastModifiedBy>
  <cp:revision>110</cp:revision>
  <dcterms:created xsi:type="dcterms:W3CDTF">2014-08-22T11:08:00Z</dcterms:created>
  <dcterms:modified xsi:type="dcterms:W3CDTF">2014-12-10T11:19:00Z</dcterms:modified>
</cp:coreProperties>
</file>